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916A08C" w14:textId="2E110312" w:rsidR="00E50997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 xml:space="preserve">2-D Base Level Engineering </w:t>
      </w:r>
    </w:p>
    <w:p w14:paraId="0B75E976" w14:textId="58957782" w:rsidR="008F06AE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Texas Water Development Board</w:t>
      </w:r>
    </w:p>
    <w:p w14:paraId="090D26C8" w14:textId="363B307D" w:rsidR="00E50997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</w:p>
    <w:p w14:paraId="17BFFDD6" w14:textId="15EF142A" w:rsidR="00E50997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Quality Control — Mapping</w:t>
      </w:r>
    </w:p>
    <w:p w14:paraId="0FE5497B" w14:textId="6A40AC54" w:rsidR="00F11486" w:rsidRPr="0072199E" w:rsidRDefault="00F11486" w:rsidP="00E50997">
      <w:pPr>
        <w:jc w:val="center"/>
        <w:rPr>
          <w:rFonts w:ascii="Arial" w:hAnsi="Arial" w:cs="Arial"/>
          <w:sz w:val="22"/>
          <w:szCs w:val="22"/>
        </w:rPr>
      </w:pPr>
    </w:p>
    <w:p w14:paraId="46C7D067" w14:textId="7C7E478B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HUC 8 Reviewed:</w:t>
      </w:r>
      <w:r w:rsidRPr="0072199E">
        <w:rPr>
          <w:rFonts w:ascii="Arial" w:hAnsi="Arial" w:cs="Arial"/>
          <w:sz w:val="22"/>
          <w:szCs w:val="22"/>
        </w:rPr>
        <w:tab/>
      </w:r>
      <w:r w:rsidR="00E40DCB">
        <w:rPr>
          <w:rFonts w:ascii="Arial" w:hAnsi="Arial" w:cs="Arial"/>
          <w:sz w:val="22"/>
          <w:szCs w:val="22"/>
        </w:rPr>
        <w:t>Cibolo</w:t>
      </w:r>
    </w:p>
    <w:p w14:paraId="4E1FF8A4" w14:textId="5AB75025" w:rsidR="00F11486" w:rsidRPr="0072199E" w:rsidRDefault="00F11486" w:rsidP="00F11486">
      <w:pPr>
        <w:jc w:val="left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 xml:space="preserve">Submitted by: </w:t>
      </w:r>
      <w:r w:rsidRPr="0072199E">
        <w:rPr>
          <w:rFonts w:ascii="Arial" w:hAnsi="Arial" w:cs="Arial"/>
          <w:sz w:val="22"/>
          <w:szCs w:val="22"/>
        </w:rPr>
        <w:tab/>
      </w:r>
      <w:r w:rsidRPr="0072199E">
        <w:rPr>
          <w:rFonts w:ascii="Arial" w:hAnsi="Arial" w:cs="Arial"/>
          <w:sz w:val="22"/>
          <w:szCs w:val="22"/>
        </w:rPr>
        <w:tab/>
      </w:r>
      <w:r w:rsidR="00E40DCB">
        <w:rPr>
          <w:rFonts w:ascii="Arial" w:hAnsi="Arial" w:cs="Arial"/>
          <w:sz w:val="22"/>
          <w:szCs w:val="22"/>
        </w:rPr>
        <w:t xml:space="preserve">Gennadii </w:t>
      </w:r>
      <w:r w:rsidR="00E40DCB" w:rsidRPr="00E40DCB">
        <w:rPr>
          <w:rFonts w:ascii="Arial" w:hAnsi="Arial" w:cs="Arial"/>
          <w:sz w:val="22"/>
          <w:szCs w:val="22"/>
        </w:rPr>
        <w:t>Prykhodko</w:t>
      </w:r>
    </w:p>
    <w:p w14:paraId="75965D9C" w14:textId="130CBC86" w:rsidR="00F11486" w:rsidRPr="0072199E" w:rsidRDefault="00F11486" w:rsidP="00F11486">
      <w:pPr>
        <w:jc w:val="left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QC by:</w:t>
      </w:r>
      <w:r w:rsidRPr="0072199E">
        <w:rPr>
          <w:rFonts w:ascii="Arial" w:hAnsi="Arial" w:cs="Arial"/>
          <w:sz w:val="22"/>
          <w:szCs w:val="22"/>
        </w:rPr>
        <w:tab/>
      </w:r>
      <w:r w:rsidRPr="0072199E">
        <w:rPr>
          <w:rFonts w:ascii="Arial" w:hAnsi="Arial" w:cs="Arial"/>
          <w:sz w:val="22"/>
          <w:szCs w:val="22"/>
        </w:rPr>
        <w:tab/>
      </w:r>
      <w:r w:rsidRPr="0072199E">
        <w:rPr>
          <w:rFonts w:ascii="Arial" w:hAnsi="Arial" w:cs="Arial"/>
          <w:sz w:val="22"/>
          <w:szCs w:val="22"/>
        </w:rPr>
        <w:tab/>
        <w:t>Guillermo Simon</w:t>
      </w:r>
    </w:p>
    <w:p w14:paraId="72469434" w14:textId="1A9D5C1F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p w14:paraId="21E3C57D" w14:textId="77777777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p w14:paraId="674DF090" w14:textId="77777777" w:rsidR="003C5C1D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Comparison with effective mapping</w:t>
      </w:r>
    </w:p>
    <w:p w14:paraId="3412B7EE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Compare water surface elevation and mapping extents, if possible. Of note, mapping extents may prove difficult to verify because BLE models rain-on-grid and effective maps show flow concentration.</w:t>
      </w:r>
    </w:p>
    <w:p w14:paraId="4D26E35A" w14:textId="77777777" w:rsidR="003C5C1D" w:rsidRPr="00B26566" w:rsidRDefault="003C5C1D" w:rsidP="003C5C1D">
      <w:pPr>
        <w:ind w:left="720"/>
        <w:rPr>
          <w:rFonts w:ascii="Arial" w:hAnsi="Arial" w:cs="Arial"/>
          <w:sz w:val="20"/>
        </w:rPr>
      </w:pPr>
    </w:p>
    <w:p w14:paraId="67ECCEE2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Mapping around HUC perimeter</w:t>
      </w:r>
    </w:p>
    <w:p w14:paraId="02C9901E" w14:textId="77777777" w:rsidR="003C5C1D" w:rsidRDefault="003C5C1D" w:rsidP="003C5C1D">
      <w:pPr>
        <w:ind w:left="720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Verify mapping near downstream boundary condition</w:t>
      </w:r>
    </w:p>
    <w:p w14:paraId="09AA847A" w14:textId="77777777" w:rsidR="003C5C1D" w:rsidRPr="00B26566" w:rsidRDefault="003C5C1D" w:rsidP="003C5C1D">
      <w:pPr>
        <w:ind w:left="720"/>
        <w:rPr>
          <w:rFonts w:ascii="Arial" w:hAnsi="Arial" w:cs="Arial"/>
          <w:sz w:val="20"/>
        </w:rPr>
      </w:pPr>
    </w:p>
    <w:p w14:paraId="6DA8EAED" w14:textId="77777777" w:rsidR="003C5C1D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T</w:t>
      </w:r>
      <w:r w:rsidRPr="00D83503">
        <w:rPr>
          <w:rFonts w:ascii="Arial" w:hAnsi="Arial" w:cs="Arial"/>
          <w:sz w:val="20"/>
        </w:rPr>
        <w:t>ie-in with neighboring basins</w:t>
      </w:r>
    </w:p>
    <w:p w14:paraId="0449762F" w14:textId="77777777" w:rsidR="003C5C1D" w:rsidRPr="00D83503" w:rsidRDefault="003C5C1D" w:rsidP="003C5C1D">
      <w:pPr>
        <w:pStyle w:val="ListParagrap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Verify mapping continuity around the HUC’s perimeter</w:t>
      </w:r>
    </w:p>
    <w:p w14:paraId="1147A997" w14:textId="77777777" w:rsidR="003C5C1D" w:rsidRPr="00B26566" w:rsidRDefault="003C5C1D" w:rsidP="003C5C1D">
      <w:pPr>
        <w:ind w:left="720"/>
        <w:rPr>
          <w:rFonts w:ascii="Arial" w:hAnsi="Arial" w:cs="Arial"/>
          <w:sz w:val="20"/>
        </w:rPr>
      </w:pPr>
    </w:p>
    <w:p w14:paraId="0541C865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Stream connectivity</w:t>
      </w:r>
    </w:p>
    <w:p w14:paraId="47B1898E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Verify continuous mapping along conveying systems (creeks, channels, roads (?))</w:t>
      </w:r>
    </w:p>
    <w:p w14:paraId="00F6F5A4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</w:p>
    <w:p w14:paraId="1D3A3B05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Mapped depths</w:t>
      </w:r>
    </w:p>
    <w:p w14:paraId="5DF6E943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Depth use in mapping. Is minimum depth consistent with other HUCS?</w:t>
      </w:r>
    </w:p>
    <w:p w14:paraId="645F8864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</w:p>
    <w:p w14:paraId="40004CC7" w14:textId="77777777" w:rsidR="003C5C1D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Mapping consistent with frequency.</w:t>
      </w:r>
    </w:p>
    <w:p w14:paraId="668E5013" w14:textId="77777777" w:rsidR="003C5C1D" w:rsidRDefault="003C5C1D" w:rsidP="003C5C1D">
      <w:pPr>
        <w:pStyle w:val="ListParagrap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Verify that mapping extents and flood elevations increase with lower frequencies (e.g., is 500-yr mapping “larger” than 100-yr mapping?)</w:t>
      </w:r>
    </w:p>
    <w:p w14:paraId="7CA2C450" w14:textId="77777777" w:rsidR="003C5C1D" w:rsidRPr="00EA7EDE" w:rsidRDefault="003C5C1D" w:rsidP="003C5C1D">
      <w:pPr>
        <w:pStyle w:val="ListParagraph"/>
        <w:rPr>
          <w:rFonts w:ascii="Arial" w:hAnsi="Arial" w:cs="Arial"/>
          <w:sz w:val="20"/>
        </w:rPr>
      </w:pPr>
    </w:p>
    <w:p w14:paraId="0B5221FC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Miscellaneous comments</w:t>
      </w:r>
    </w:p>
    <w:p w14:paraId="68EE69D5" w14:textId="77777777" w:rsidR="003C5C1D" w:rsidRPr="0072199E" w:rsidRDefault="003C5C1D" w:rsidP="003C5C1D">
      <w:pPr>
        <w:jc w:val="left"/>
        <w:rPr>
          <w:rFonts w:ascii="Arial" w:hAnsi="Arial" w:cs="Arial"/>
          <w:sz w:val="22"/>
          <w:szCs w:val="22"/>
        </w:rPr>
      </w:pPr>
    </w:p>
    <w:p w14:paraId="581D1A81" w14:textId="77777777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tbl>
      <w:tblPr>
        <w:tblStyle w:val="TableGrid"/>
        <w:tblW w:w="9445" w:type="dxa"/>
        <w:tblLook w:val="04A0" w:firstRow="1" w:lastRow="0" w:firstColumn="1" w:lastColumn="0" w:noHBand="0" w:noVBand="1"/>
      </w:tblPr>
      <w:tblGrid>
        <w:gridCol w:w="2337"/>
        <w:gridCol w:w="2337"/>
        <w:gridCol w:w="4771"/>
      </w:tblGrid>
      <w:tr w:rsidR="000B6E34" w:rsidRPr="0072199E" w14:paraId="0B25D3A6" w14:textId="77777777" w:rsidTr="000B6E34">
        <w:tc>
          <w:tcPr>
            <w:tcW w:w="2337" w:type="dxa"/>
          </w:tcPr>
          <w:p w14:paraId="31B8AA76" w14:textId="4246D6A0" w:rsidR="000B6E34" w:rsidRPr="0072199E" w:rsidRDefault="000B6E34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2199E">
              <w:rPr>
                <w:rFonts w:ascii="Arial" w:hAnsi="Arial" w:cs="Arial"/>
                <w:b/>
                <w:bCs/>
                <w:sz w:val="22"/>
                <w:szCs w:val="22"/>
              </w:rPr>
              <w:t>QC Round</w:t>
            </w:r>
          </w:p>
        </w:tc>
        <w:tc>
          <w:tcPr>
            <w:tcW w:w="2337" w:type="dxa"/>
          </w:tcPr>
          <w:p w14:paraId="14704F0E" w14:textId="7FE82834" w:rsidR="000B6E34" w:rsidRPr="0072199E" w:rsidRDefault="000B6E34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2199E">
              <w:rPr>
                <w:rFonts w:ascii="Arial" w:hAnsi="Arial" w:cs="Arial"/>
                <w:b/>
                <w:bCs/>
                <w:sz w:val="22"/>
                <w:szCs w:val="22"/>
              </w:rPr>
              <w:t>Date</w:t>
            </w:r>
          </w:p>
        </w:tc>
        <w:tc>
          <w:tcPr>
            <w:tcW w:w="4771" w:type="dxa"/>
          </w:tcPr>
          <w:p w14:paraId="33958BED" w14:textId="25663EDF" w:rsidR="000B6E34" w:rsidRPr="0072199E" w:rsidRDefault="0072199E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2199E">
              <w:rPr>
                <w:rFonts w:ascii="Arial" w:hAnsi="Arial" w:cs="Arial"/>
                <w:b/>
                <w:bCs/>
                <w:sz w:val="22"/>
                <w:szCs w:val="22"/>
              </w:rPr>
              <w:t>Comment</w:t>
            </w:r>
          </w:p>
        </w:tc>
      </w:tr>
      <w:tr w:rsidR="000B6E34" w:rsidRPr="0072199E" w14:paraId="4C1FD893" w14:textId="77777777" w:rsidTr="000B6E34">
        <w:tc>
          <w:tcPr>
            <w:tcW w:w="2337" w:type="dxa"/>
          </w:tcPr>
          <w:p w14:paraId="70209899" w14:textId="67F845E5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1 sent</w:t>
            </w:r>
          </w:p>
        </w:tc>
        <w:tc>
          <w:tcPr>
            <w:tcW w:w="2337" w:type="dxa"/>
          </w:tcPr>
          <w:p w14:paraId="2D8B1F31" w14:textId="2FC47712" w:rsidR="000B6E34" w:rsidRPr="0072199E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71" w:type="dxa"/>
          </w:tcPr>
          <w:p w14:paraId="4D386D26" w14:textId="5DF32CA4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72199E" w14:paraId="4DB73897" w14:textId="77777777" w:rsidTr="000B6E34">
        <w:tc>
          <w:tcPr>
            <w:tcW w:w="2337" w:type="dxa"/>
          </w:tcPr>
          <w:p w14:paraId="7CC44E86" w14:textId="6E128565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1 complete</w:t>
            </w:r>
          </w:p>
        </w:tc>
        <w:tc>
          <w:tcPr>
            <w:tcW w:w="2337" w:type="dxa"/>
          </w:tcPr>
          <w:p w14:paraId="120563B1" w14:textId="3FAB99CE" w:rsidR="000B6E34" w:rsidRPr="0072199E" w:rsidRDefault="00B10287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9</w:t>
            </w:r>
            <w:r w:rsidR="000B6E34" w:rsidRPr="0072199E">
              <w:rPr>
                <w:rFonts w:ascii="Arial" w:hAnsi="Arial" w:cs="Arial"/>
                <w:sz w:val="22"/>
                <w:szCs w:val="22"/>
              </w:rPr>
              <w:t>/</w:t>
            </w:r>
            <w:r>
              <w:rPr>
                <w:rFonts w:ascii="Arial" w:hAnsi="Arial" w:cs="Arial"/>
                <w:sz w:val="22"/>
                <w:szCs w:val="22"/>
              </w:rPr>
              <w:t>1</w:t>
            </w:r>
            <w:r w:rsidR="000B6E34" w:rsidRPr="0072199E">
              <w:rPr>
                <w:rFonts w:ascii="Arial" w:hAnsi="Arial" w:cs="Arial"/>
                <w:sz w:val="22"/>
                <w:szCs w:val="22"/>
              </w:rPr>
              <w:t>/2021</w:t>
            </w:r>
          </w:p>
        </w:tc>
        <w:tc>
          <w:tcPr>
            <w:tcW w:w="4771" w:type="dxa"/>
          </w:tcPr>
          <w:p w14:paraId="73CE3E43" w14:textId="77777777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72199E" w14:paraId="1539B2B4" w14:textId="77777777" w:rsidTr="000B6E34">
        <w:tc>
          <w:tcPr>
            <w:tcW w:w="2337" w:type="dxa"/>
          </w:tcPr>
          <w:p w14:paraId="0902CBBB" w14:textId="2BC766A1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2 sent</w:t>
            </w:r>
          </w:p>
        </w:tc>
        <w:tc>
          <w:tcPr>
            <w:tcW w:w="2337" w:type="dxa"/>
          </w:tcPr>
          <w:p w14:paraId="4B4E745D" w14:textId="77777777" w:rsidR="000B6E34" w:rsidRPr="0072199E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71" w:type="dxa"/>
          </w:tcPr>
          <w:p w14:paraId="1BD2ECCD" w14:textId="77777777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72199E" w14:paraId="55EAB7F2" w14:textId="77777777" w:rsidTr="000B6E34">
        <w:tc>
          <w:tcPr>
            <w:tcW w:w="2337" w:type="dxa"/>
          </w:tcPr>
          <w:p w14:paraId="39048E85" w14:textId="412F3F9E" w:rsidR="000B6E34" w:rsidRPr="0072199E" w:rsidRDefault="000B6E34" w:rsidP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2 complete</w:t>
            </w:r>
          </w:p>
        </w:tc>
        <w:tc>
          <w:tcPr>
            <w:tcW w:w="2337" w:type="dxa"/>
          </w:tcPr>
          <w:p w14:paraId="7EDC662B" w14:textId="77777777" w:rsidR="000B6E34" w:rsidRPr="0072199E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71" w:type="dxa"/>
          </w:tcPr>
          <w:p w14:paraId="6848885D" w14:textId="77777777" w:rsidR="000B6E34" w:rsidRPr="0072199E" w:rsidRDefault="000B6E34" w:rsidP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65D0C68" w14:textId="3AB1B85D" w:rsidR="00E50997" w:rsidRPr="0072199E" w:rsidRDefault="00E50997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10530" w:type="dxa"/>
        <w:tblInd w:w="-545" w:type="dxa"/>
        <w:tblLook w:val="04A0" w:firstRow="1" w:lastRow="0" w:firstColumn="1" w:lastColumn="0" w:noHBand="0" w:noVBand="1"/>
      </w:tblPr>
      <w:tblGrid>
        <w:gridCol w:w="1484"/>
        <w:gridCol w:w="9046"/>
      </w:tblGrid>
      <w:tr w:rsidR="0072199E" w:rsidRPr="0072199E" w14:paraId="56331FFB" w14:textId="77777777" w:rsidTr="003D1027">
        <w:tc>
          <w:tcPr>
            <w:tcW w:w="1484" w:type="dxa"/>
          </w:tcPr>
          <w:p w14:paraId="41C5D875" w14:textId="0D1A4C6D" w:rsidR="0072199E" w:rsidRPr="0072199E" w:rsidRDefault="0072199E" w:rsidP="0072199E">
            <w:pPr>
              <w:jc w:val="center"/>
              <w:rPr>
                <w:rFonts w:ascii="Arial" w:hAnsi="Arial" w:cs="Arial"/>
                <w:sz w:val="20"/>
              </w:rPr>
            </w:pPr>
            <w:r w:rsidRPr="0072199E">
              <w:rPr>
                <w:rFonts w:ascii="Arial" w:hAnsi="Arial" w:cs="Arial"/>
                <w:sz w:val="20"/>
              </w:rPr>
              <w:t>QC Item</w:t>
            </w:r>
          </w:p>
        </w:tc>
        <w:tc>
          <w:tcPr>
            <w:tcW w:w="9046" w:type="dxa"/>
          </w:tcPr>
          <w:p w14:paraId="5E0DE5BB" w14:textId="2A715D26" w:rsidR="0072199E" w:rsidRPr="0072199E" w:rsidRDefault="0072199E" w:rsidP="0072199E">
            <w:pPr>
              <w:jc w:val="center"/>
              <w:rPr>
                <w:rFonts w:ascii="Arial" w:hAnsi="Arial" w:cs="Arial"/>
                <w:sz w:val="20"/>
              </w:rPr>
            </w:pPr>
            <w:r w:rsidRPr="0072199E">
              <w:rPr>
                <w:rFonts w:ascii="Arial" w:hAnsi="Arial" w:cs="Arial"/>
                <w:sz w:val="20"/>
              </w:rPr>
              <w:t>Comments and figures</w:t>
            </w:r>
          </w:p>
        </w:tc>
      </w:tr>
      <w:tr w:rsidR="0072199E" w:rsidRPr="0072199E" w14:paraId="22FCD8A2" w14:textId="77777777" w:rsidTr="003D1027">
        <w:tc>
          <w:tcPr>
            <w:tcW w:w="1484" w:type="dxa"/>
          </w:tcPr>
          <w:p w14:paraId="025ED35A" w14:textId="436E3F14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1. </w:t>
            </w:r>
            <w:r w:rsidR="0072199E" w:rsidRPr="0072199E">
              <w:rPr>
                <w:rFonts w:ascii="Arial" w:hAnsi="Arial" w:cs="Arial"/>
                <w:sz w:val="20"/>
              </w:rPr>
              <w:t>Comparison with effective mapping</w:t>
            </w:r>
          </w:p>
        </w:tc>
        <w:tc>
          <w:tcPr>
            <w:tcW w:w="9046" w:type="dxa"/>
          </w:tcPr>
          <w:p w14:paraId="5C50DA46" w14:textId="2F97D864" w:rsid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1.1</w:t>
            </w:r>
            <w:r w:rsidR="00AC2967">
              <w:rPr>
                <w:rFonts w:ascii="Arial" w:hAnsi="Arial" w:cs="Arial"/>
                <w:sz w:val="20"/>
              </w:rPr>
              <w:t xml:space="preserve"> </w:t>
            </w:r>
            <w:r w:rsidR="00984250">
              <w:rPr>
                <w:rFonts w:ascii="Arial" w:hAnsi="Arial" w:cs="Arial"/>
                <w:sz w:val="20"/>
              </w:rPr>
              <w:t xml:space="preserve">BLE mapping shows good agreement with effective boundaries. In many areas, BLE </w:t>
            </w:r>
            <w:r w:rsidR="00DE702E">
              <w:rPr>
                <w:rFonts w:ascii="Arial" w:hAnsi="Arial" w:cs="Arial"/>
                <w:sz w:val="20"/>
              </w:rPr>
              <w:t xml:space="preserve">even </w:t>
            </w:r>
            <w:r w:rsidR="00984250">
              <w:rPr>
                <w:rFonts w:ascii="Arial" w:hAnsi="Arial" w:cs="Arial"/>
                <w:sz w:val="20"/>
              </w:rPr>
              <w:t>appears to provide an improved delineation</w:t>
            </w:r>
            <w:r w:rsidR="00DE702E">
              <w:rPr>
                <w:rFonts w:ascii="Arial" w:hAnsi="Arial" w:cs="Arial"/>
                <w:sz w:val="20"/>
              </w:rPr>
              <w:t>. BLE also delineates flood hazards along many (all?) tributaries. BLE provides good tie-ins with reaches mapped with detailed study methods.</w:t>
            </w:r>
          </w:p>
          <w:p w14:paraId="37E05BD0" w14:textId="3D8D164F" w:rsidR="00AB36AE" w:rsidRDefault="00AB36A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0ADEDE25" w14:textId="7647B464" w:rsidR="00AB36AE" w:rsidRPr="0072199E" w:rsidRDefault="00AB36AE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5D6B7627" w14:textId="77777777" w:rsidTr="003D1027">
        <w:tc>
          <w:tcPr>
            <w:tcW w:w="1484" w:type="dxa"/>
          </w:tcPr>
          <w:p w14:paraId="590F893F" w14:textId="16AB2A8E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2. </w:t>
            </w:r>
            <w:r w:rsidR="0072199E" w:rsidRPr="0072199E">
              <w:rPr>
                <w:rFonts w:ascii="Arial" w:hAnsi="Arial" w:cs="Arial"/>
                <w:sz w:val="20"/>
              </w:rPr>
              <w:t xml:space="preserve">Mapping near downstream </w:t>
            </w:r>
            <w:r w:rsidR="0072199E" w:rsidRPr="0072199E">
              <w:rPr>
                <w:rFonts w:ascii="Arial" w:hAnsi="Arial" w:cs="Arial"/>
                <w:sz w:val="20"/>
              </w:rPr>
              <w:lastRenderedPageBreak/>
              <w:t>boundary condition</w:t>
            </w:r>
          </w:p>
        </w:tc>
        <w:tc>
          <w:tcPr>
            <w:tcW w:w="9046" w:type="dxa"/>
          </w:tcPr>
          <w:p w14:paraId="0DAFC734" w14:textId="47218030" w:rsid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>2.1</w:t>
            </w:r>
            <w:r w:rsidR="00FB6079">
              <w:rPr>
                <w:rFonts w:ascii="Arial" w:hAnsi="Arial" w:cs="Arial"/>
                <w:sz w:val="20"/>
              </w:rPr>
              <w:t xml:space="preserve"> Mapping at the downstream end (confluence with San Antonio River looks correct. However, as described in item 3.2, verify that mapping ties in with Lower San Antonio HUC.</w:t>
            </w:r>
          </w:p>
          <w:p w14:paraId="7C84D1EB" w14:textId="70E8DF03" w:rsidR="0073470E" w:rsidRDefault="0073470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30C06296" w14:textId="635EF5C9" w:rsidR="00486827" w:rsidRDefault="00486827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44893580" w14:textId="77777777" w:rsidR="00486827" w:rsidRDefault="00486827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0C487D3C" w14:textId="4D07FF2E" w:rsidR="0073470E" w:rsidRDefault="0073470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44110EA4" w14:textId="2A3D49E4" w:rsidR="00486827" w:rsidRPr="0072199E" w:rsidRDefault="00486827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355FF0CD" w14:textId="77777777" w:rsidTr="003D1027">
        <w:tc>
          <w:tcPr>
            <w:tcW w:w="1484" w:type="dxa"/>
          </w:tcPr>
          <w:p w14:paraId="7EA0A86E" w14:textId="74B73F1B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 xml:space="preserve">3. </w:t>
            </w:r>
            <w:r w:rsidR="0072199E" w:rsidRPr="0072199E">
              <w:rPr>
                <w:rFonts w:ascii="Arial" w:hAnsi="Arial" w:cs="Arial"/>
                <w:sz w:val="20"/>
              </w:rPr>
              <w:t xml:space="preserve">Mapping of </w:t>
            </w:r>
            <w:r>
              <w:rPr>
                <w:rFonts w:ascii="Arial" w:hAnsi="Arial" w:cs="Arial"/>
                <w:sz w:val="20"/>
              </w:rPr>
              <w:t>inter</w:t>
            </w:r>
            <w:r w:rsidR="0072199E" w:rsidRPr="0072199E">
              <w:rPr>
                <w:rFonts w:ascii="Arial" w:hAnsi="Arial" w:cs="Arial"/>
                <w:sz w:val="20"/>
              </w:rPr>
              <w:t>basin flow transfer (tie-ins)</w:t>
            </w:r>
          </w:p>
        </w:tc>
        <w:tc>
          <w:tcPr>
            <w:tcW w:w="9046" w:type="dxa"/>
          </w:tcPr>
          <w:p w14:paraId="685DA00E" w14:textId="573B923F" w:rsid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3.1</w:t>
            </w:r>
            <w:r w:rsidR="004D6D4E">
              <w:rPr>
                <w:rFonts w:ascii="Arial" w:hAnsi="Arial" w:cs="Arial"/>
                <w:sz w:val="20"/>
              </w:rPr>
              <w:t xml:space="preserve"> BLE results do not show areas with significant interbasin flow transfers (except for item 3.2). Some tie-ins may have to occur at the upstream end of some tributaries.</w:t>
            </w:r>
          </w:p>
          <w:p w14:paraId="1B3ABC98" w14:textId="77777777" w:rsidR="004B449D" w:rsidRDefault="004B449D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63DC783A" w14:textId="45B7A5A8" w:rsidR="004B449D" w:rsidRDefault="004D6D4E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3.2 The downstream end shows flows leaving the Cibolo HUC laterally, close to the confluence </w:t>
            </w:r>
            <w:r w:rsidR="00FB6079">
              <w:rPr>
                <w:rFonts w:ascii="Arial" w:hAnsi="Arial" w:cs="Arial"/>
                <w:sz w:val="20"/>
              </w:rPr>
              <w:t>with San Antonio River</w:t>
            </w:r>
            <w:r>
              <w:rPr>
                <w:rFonts w:ascii="Arial" w:hAnsi="Arial" w:cs="Arial"/>
                <w:sz w:val="20"/>
              </w:rPr>
              <w:t>. Verify that mapping extents with Lower San Antonio tie in.</w:t>
            </w:r>
          </w:p>
          <w:p w14:paraId="7FFC91DF" w14:textId="177513DF" w:rsidR="00C7113E" w:rsidRDefault="00C7113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01880F3B" w14:textId="5F9835CF" w:rsidR="00C7113E" w:rsidRDefault="00C7113E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C7113E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D552B0D" wp14:editId="6A9C12E0">
                  <wp:extent cx="3190008" cy="3838575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3461" cy="3854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3823D9" w14:textId="597A8A81" w:rsidR="004B449D" w:rsidRDefault="004B449D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746A843C" w14:textId="0C8B6F43" w:rsidR="004B449D" w:rsidRPr="00486827" w:rsidRDefault="004B449D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059E5C40" w14:textId="77777777" w:rsidTr="003D1027">
        <w:tc>
          <w:tcPr>
            <w:tcW w:w="1484" w:type="dxa"/>
          </w:tcPr>
          <w:p w14:paraId="3CA5BDD1" w14:textId="3C95E310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4. </w:t>
            </w:r>
            <w:r w:rsidR="0072199E" w:rsidRPr="0072199E">
              <w:rPr>
                <w:rFonts w:ascii="Arial" w:hAnsi="Arial" w:cs="Arial"/>
                <w:sz w:val="20"/>
              </w:rPr>
              <w:t xml:space="preserve">Stream </w:t>
            </w:r>
            <w:r>
              <w:rPr>
                <w:rFonts w:ascii="Arial" w:hAnsi="Arial" w:cs="Arial"/>
                <w:sz w:val="20"/>
              </w:rPr>
              <w:t>continuity</w:t>
            </w:r>
          </w:p>
        </w:tc>
        <w:tc>
          <w:tcPr>
            <w:tcW w:w="9046" w:type="dxa"/>
          </w:tcPr>
          <w:p w14:paraId="1CC76A68" w14:textId="696DD4DF" w:rsid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4.1</w:t>
            </w:r>
            <w:r w:rsidR="004B449D">
              <w:rPr>
                <w:rFonts w:ascii="Arial" w:hAnsi="Arial" w:cs="Arial"/>
                <w:sz w:val="20"/>
              </w:rPr>
              <w:t xml:space="preserve"> </w:t>
            </w:r>
            <w:r w:rsidR="00984250">
              <w:rPr>
                <w:rFonts w:ascii="Arial" w:hAnsi="Arial" w:cs="Arial"/>
                <w:sz w:val="20"/>
              </w:rPr>
              <w:t>See discontinuities within spillway</w:t>
            </w:r>
            <w:r w:rsidR="00EE5E3A">
              <w:rPr>
                <w:rFonts w:ascii="Arial" w:hAnsi="Arial" w:cs="Arial"/>
                <w:sz w:val="20"/>
              </w:rPr>
              <w:t>s</w:t>
            </w:r>
            <w:r w:rsidR="00984250">
              <w:rPr>
                <w:rFonts w:ascii="Arial" w:hAnsi="Arial" w:cs="Arial"/>
                <w:sz w:val="20"/>
              </w:rPr>
              <w:t>.</w:t>
            </w:r>
          </w:p>
          <w:p w14:paraId="10A28228" w14:textId="22E8617E" w:rsidR="00BF4C08" w:rsidRDefault="00EE5E3A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EE5E3A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7688C747" wp14:editId="46BF6969">
                  <wp:extent cx="2279176" cy="1920499"/>
                  <wp:effectExtent l="0" t="0" r="6985" b="381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4631" cy="1933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E5E3A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47F0D46C" wp14:editId="72561BFA">
                  <wp:extent cx="2197290" cy="1924961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314" cy="1935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731B58" w14:textId="4D206F7F" w:rsidR="00BF4C08" w:rsidRDefault="00BF4C08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19905708" w14:textId="6B9F5E0A" w:rsidR="00541181" w:rsidRDefault="000A510E" w:rsidP="0072199E">
            <w:pPr>
              <w:jc w:val="left"/>
              <w:rPr>
                <w:rFonts w:ascii="Arial" w:hAnsi="Arial" w:cs="Arial"/>
                <w:sz w:val="20"/>
              </w:rPr>
            </w:pPr>
            <w:commentRangeStart w:id="0"/>
            <w:r>
              <w:rPr>
                <w:rFonts w:ascii="Arial" w:hAnsi="Arial" w:cs="Arial"/>
                <w:sz w:val="20"/>
              </w:rPr>
              <w:lastRenderedPageBreak/>
              <w:t xml:space="preserve">4.2 Some tributaries show as elongated “ponded” areas. These </w:t>
            </w:r>
            <w:r w:rsidR="00FB6079">
              <w:rPr>
                <w:rFonts w:ascii="Arial" w:hAnsi="Arial" w:cs="Arial"/>
                <w:sz w:val="20"/>
              </w:rPr>
              <w:t>discontinuities</w:t>
            </w:r>
            <w:r>
              <w:rPr>
                <w:rFonts w:ascii="Arial" w:hAnsi="Arial" w:cs="Arial"/>
                <w:sz w:val="20"/>
              </w:rPr>
              <w:t xml:space="preserve"> are a result of steep terrain</w:t>
            </w:r>
            <w:r w:rsidR="00FB6079">
              <w:rPr>
                <w:rFonts w:ascii="Arial" w:hAnsi="Arial" w:cs="Arial"/>
                <w:sz w:val="20"/>
              </w:rPr>
              <w:t xml:space="preserve"> and narrow channels which may or may not have been captured by breaklines</w:t>
            </w:r>
            <w:r>
              <w:rPr>
                <w:rFonts w:ascii="Arial" w:hAnsi="Arial" w:cs="Arial"/>
                <w:sz w:val="20"/>
              </w:rPr>
              <w:t>, but the</w:t>
            </w:r>
            <w:r w:rsidR="00FB6079">
              <w:rPr>
                <w:rFonts w:ascii="Arial" w:hAnsi="Arial" w:cs="Arial"/>
                <w:sz w:val="20"/>
              </w:rPr>
              <w:t xml:space="preserve"> current mapping</w:t>
            </w:r>
            <w:r>
              <w:rPr>
                <w:rFonts w:ascii="Arial" w:hAnsi="Arial" w:cs="Arial"/>
                <w:sz w:val="20"/>
              </w:rPr>
              <w:t xml:space="preserve"> look</w:t>
            </w:r>
            <w:r w:rsidR="00FB6079">
              <w:rPr>
                <w:rFonts w:ascii="Arial" w:hAnsi="Arial" w:cs="Arial"/>
                <w:sz w:val="20"/>
              </w:rPr>
              <w:t>s</w:t>
            </w:r>
            <w:r>
              <w:rPr>
                <w:rFonts w:ascii="Arial" w:hAnsi="Arial" w:cs="Arial"/>
                <w:sz w:val="20"/>
              </w:rPr>
              <w:t xml:space="preserve"> odd. </w:t>
            </w:r>
            <w:r w:rsidR="00FB6079">
              <w:rPr>
                <w:rFonts w:ascii="Arial" w:hAnsi="Arial" w:cs="Arial"/>
                <w:sz w:val="20"/>
              </w:rPr>
              <w:t xml:space="preserve">These features appear throughout the HUC. </w:t>
            </w:r>
            <w:r>
              <w:rPr>
                <w:rFonts w:ascii="Arial" w:hAnsi="Arial" w:cs="Arial"/>
                <w:sz w:val="20"/>
              </w:rPr>
              <w:t>I recommend connecting to downstream reach</w:t>
            </w:r>
            <w:r w:rsidR="00FB6079">
              <w:rPr>
                <w:rFonts w:ascii="Arial" w:hAnsi="Arial" w:cs="Arial"/>
                <w:sz w:val="20"/>
              </w:rPr>
              <w:t>, if possible</w:t>
            </w:r>
            <w:r>
              <w:rPr>
                <w:rFonts w:ascii="Arial" w:hAnsi="Arial" w:cs="Arial"/>
                <w:sz w:val="20"/>
              </w:rPr>
              <w:t>. See figures below.</w:t>
            </w:r>
            <w:commentRangeEnd w:id="0"/>
            <w:r w:rsidR="00E71B94">
              <w:rPr>
                <w:rStyle w:val="CommentReference"/>
              </w:rPr>
              <w:commentReference w:id="0"/>
            </w:r>
          </w:p>
          <w:p w14:paraId="7C12EE7E" w14:textId="7D544E62" w:rsidR="000A510E" w:rsidRDefault="000A510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264FF41F" w14:textId="50D50B0A" w:rsidR="000A510E" w:rsidRDefault="000A510E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0A510E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20FBA082" wp14:editId="4A1405C1">
                  <wp:extent cx="4420427" cy="32194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6834" cy="3253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15527B" w14:textId="71B6EAF6" w:rsidR="000A510E" w:rsidRDefault="000A510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1160D083" w14:textId="5BE793A0" w:rsidR="000A510E" w:rsidRDefault="000A510E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0A510E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03167D65" wp14:editId="4B911E3E">
                  <wp:extent cx="4422731" cy="347345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9233" cy="3478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1753D7" w14:textId="2C62F51E" w:rsidR="00FB6079" w:rsidRDefault="00FB6079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FB6079">
              <w:rPr>
                <w:rFonts w:ascii="Arial" w:hAnsi="Arial" w:cs="Arial"/>
                <w:noProof/>
                <w:sz w:val="20"/>
              </w:rPr>
              <w:lastRenderedPageBreak/>
              <w:drawing>
                <wp:inline distT="0" distB="0" distL="0" distR="0" wp14:anchorId="6B625D2F" wp14:editId="1A42D35C">
                  <wp:extent cx="4353674" cy="3228975"/>
                  <wp:effectExtent l="0" t="0" r="889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1790" cy="3234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34233F" w14:textId="77777777" w:rsidR="00541181" w:rsidRDefault="00541181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3D6FD07F" w14:textId="2949D5F9" w:rsidR="00BF4C08" w:rsidRPr="0072199E" w:rsidRDefault="00BF4C08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1A32A5A3" w14:textId="77777777" w:rsidTr="003D1027">
        <w:tc>
          <w:tcPr>
            <w:tcW w:w="1484" w:type="dxa"/>
          </w:tcPr>
          <w:p w14:paraId="2CD4DF44" w14:textId="41394348" w:rsidR="0072199E" w:rsidRPr="004D6D4E" w:rsidRDefault="00151847" w:rsidP="0072199E">
            <w:pPr>
              <w:jc w:val="left"/>
              <w:rPr>
                <w:rFonts w:ascii="Arial" w:hAnsi="Arial" w:cs="Arial"/>
                <w:sz w:val="20"/>
                <w:highlight w:val="yellow"/>
              </w:rPr>
            </w:pPr>
            <w:r w:rsidRPr="00C7676A">
              <w:rPr>
                <w:rFonts w:ascii="Arial" w:hAnsi="Arial" w:cs="Arial"/>
                <w:sz w:val="20"/>
              </w:rPr>
              <w:lastRenderedPageBreak/>
              <w:t xml:space="preserve">5. </w:t>
            </w:r>
            <w:r w:rsidR="0072199E" w:rsidRPr="00C7676A">
              <w:rPr>
                <w:rFonts w:ascii="Arial" w:hAnsi="Arial" w:cs="Arial"/>
                <w:sz w:val="20"/>
              </w:rPr>
              <w:t>Mapped depths</w:t>
            </w:r>
          </w:p>
        </w:tc>
        <w:tc>
          <w:tcPr>
            <w:tcW w:w="9046" w:type="dxa"/>
          </w:tcPr>
          <w:p w14:paraId="17027FFA" w14:textId="52CDC664" w:rsidR="00984250" w:rsidRPr="00C7676A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C7676A">
              <w:rPr>
                <w:rFonts w:ascii="Arial" w:hAnsi="Arial" w:cs="Arial"/>
                <w:sz w:val="20"/>
              </w:rPr>
              <w:t>5.1</w:t>
            </w:r>
            <w:r w:rsidR="00BF4C08" w:rsidRPr="00C7676A">
              <w:rPr>
                <w:rFonts w:ascii="Arial" w:hAnsi="Arial" w:cs="Arial"/>
                <w:sz w:val="20"/>
              </w:rPr>
              <w:t xml:space="preserve"> </w:t>
            </w:r>
            <w:r w:rsidR="0096473A" w:rsidRPr="00C7676A">
              <w:rPr>
                <w:rFonts w:ascii="Arial" w:hAnsi="Arial" w:cs="Arial"/>
                <w:sz w:val="20"/>
              </w:rPr>
              <w:t>Depth grid extents do not match the 1% delineation.</w:t>
            </w:r>
            <w:r w:rsidR="00C7676A" w:rsidRPr="00C7676A">
              <w:rPr>
                <w:rFonts w:ascii="Arial" w:hAnsi="Arial" w:cs="Arial"/>
                <w:sz w:val="20"/>
              </w:rPr>
              <w:t xml:space="preserve"> </w:t>
            </w:r>
            <w:r w:rsidR="00984250" w:rsidRPr="00C7676A">
              <w:rPr>
                <w:rFonts w:ascii="Arial" w:hAnsi="Arial" w:cs="Arial"/>
                <w:sz w:val="20"/>
              </w:rPr>
              <w:t>Depths appear too shallow in the area shown below. Verify that mapping in this area meets standard.</w:t>
            </w:r>
          </w:p>
          <w:p w14:paraId="3B40BBA0" w14:textId="77777777" w:rsidR="00C7676A" w:rsidRPr="00C7676A" w:rsidRDefault="00C7676A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583BFCC6" w14:textId="77777777" w:rsidR="00984250" w:rsidRPr="00C7676A" w:rsidRDefault="00984250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C7676A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7FB6C663" wp14:editId="47AD9BF1">
                  <wp:extent cx="4183039" cy="3414808"/>
                  <wp:effectExtent l="0" t="0" r="8255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9457" cy="343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22DA56" w14:textId="77777777" w:rsidR="00984250" w:rsidRPr="00C7676A" w:rsidRDefault="00984250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76FDDE22" w14:textId="1376E93D" w:rsidR="00984250" w:rsidRDefault="00C7676A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C7676A">
              <w:rPr>
                <w:rFonts w:ascii="Arial" w:hAnsi="Arial" w:cs="Arial"/>
                <w:sz w:val="20"/>
              </w:rPr>
              <w:lastRenderedPageBreak/>
              <w:t xml:space="preserve">5.2 </w:t>
            </w:r>
            <w:r>
              <w:rPr>
                <w:rFonts w:ascii="Arial" w:hAnsi="Arial" w:cs="Arial"/>
                <w:sz w:val="20"/>
              </w:rPr>
              <w:t xml:space="preserve">In general, </w:t>
            </w:r>
            <w:r w:rsidR="008371FE">
              <w:rPr>
                <w:rFonts w:ascii="Arial" w:hAnsi="Arial" w:cs="Arial"/>
                <w:sz w:val="20"/>
              </w:rPr>
              <w:t xml:space="preserve">the </w:t>
            </w:r>
            <w:r>
              <w:rPr>
                <w:rFonts w:ascii="Arial" w:hAnsi="Arial" w:cs="Arial"/>
                <w:sz w:val="20"/>
              </w:rPr>
              <w:t xml:space="preserve">1% mapping </w:t>
            </w:r>
            <w:r w:rsidR="008371FE">
              <w:rPr>
                <w:rFonts w:ascii="Arial" w:hAnsi="Arial" w:cs="Arial"/>
                <w:sz w:val="20"/>
              </w:rPr>
              <w:t xml:space="preserve">does not </w:t>
            </w:r>
            <w:r>
              <w:rPr>
                <w:rFonts w:ascii="Arial" w:hAnsi="Arial" w:cs="Arial"/>
                <w:sz w:val="20"/>
              </w:rPr>
              <w:t>follow the raw depth grid</w:t>
            </w:r>
            <w:r w:rsidR="008371FE">
              <w:rPr>
                <w:rFonts w:ascii="Arial" w:hAnsi="Arial" w:cs="Arial"/>
                <w:sz w:val="20"/>
              </w:rPr>
              <w:t xml:space="preserve"> consistently. </w:t>
            </w:r>
            <w:r>
              <w:rPr>
                <w:rFonts w:ascii="Arial" w:hAnsi="Arial" w:cs="Arial"/>
                <w:sz w:val="20"/>
              </w:rPr>
              <w:t>I cannot tell what the mapping standard is</w:t>
            </w:r>
            <w:r w:rsidR="00772742">
              <w:rPr>
                <w:rFonts w:ascii="Arial" w:hAnsi="Arial" w:cs="Arial"/>
                <w:sz w:val="20"/>
              </w:rPr>
              <w:t xml:space="preserve"> for depth, smoothing and general cleanup of small features</w:t>
            </w:r>
            <w:r>
              <w:rPr>
                <w:rFonts w:ascii="Arial" w:hAnsi="Arial" w:cs="Arial"/>
                <w:sz w:val="20"/>
              </w:rPr>
              <w:t>. Many areas mapped depths &lt;0.25 ft but others removed them. See the figures below and revise, if necessary (cyan color represents depths less than 0.25 ft</w:t>
            </w:r>
            <w:r w:rsidR="00772742">
              <w:rPr>
                <w:rFonts w:ascii="Arial" w:hAnsi="Arial" w:cs="Arial"/>
                <w:sz w:val="20"/>
              </w:rPr>
              <w:t>—see scale</w:t>
            </w:r>
            <w:r>
              <w:rPr>
                <w:rFonts w:ascii="Arial" w:hAnsi="Arial" w:cs="Arial"/>
                <w:sz w:val="20"/>
              </w:rPr>
              <w:t>).</w:t>
            </w:r>
          </w:p>
          <w:p w14:paraId="1A957552" w14:textId="29457F24" w:rsidR="00C7676A" w:rsidRDefault="008371FE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772742">
              <w:rPr>
                <w:rFonts w:ascii="Arial" w:hAnsi="Arial" w:cs="Arial"/>
                <w:noProof/>
                <w:sz w:val="20"/>
              </w:rPr>
              <w:drawing>
                <wp:anchor distT="0" distB="0" distL="114300" distR="114300" simplePos="0" relativeHeight="251664384" behindDoc="0" locked="0" layoutInCell="1" allowOverlap="1" wp14:anchorId="55BF6947" wp14:editId="5D2B78C5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144145</wp:posOffset>
                  </wp:positionV>
                  <wp:extent cx="724001" cy="523948"/>
                  <wp:effectExtent l="0" t="0" r="0" b="9525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001" cy="523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2CEE0BCC" w14:textId="204D858C" w:rsidR="00C7676A" w:rsidRDefault="00772742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772742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3EAA0CBB" wp14:editId="271DEC0A">
                  <wp:extent cx="2702972" cy="2771775"/>
                  <wp:effectExtent l="0" t="0" r="254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5617" cy="2784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8A8FF1" w14:textId="0D419D8A" w:rsidR="00772742" w:rsidRDefault="00772742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1E57823D" w14:textId="3612EF41" w:rsidR="00772742" w:rsidRDefault="00772742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The following figure appears to have missed several deep flooding areas.</w:t>
            </w:r>
          </w:p>
          <w:p w14:paraId="419678F2" w14:textId="6AFFDA44" w:rsidR="00772742" w:rsidRDefault="008371FE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772742">
              <w:rPr>
                <w:rFonts w:ascii="Arial" w:hAnsi="Arial" w:cs="Arial"/>
                <w:noProof/>
                <w:sz w:val="20"/>
              </w:rPr>
              <w:drawing>
                <wp:anchor distT="0" distB="0" distL="114300" distR="114300" simplePos="0" relativeHeight="251662336" behindDoc="0" locked="0" layoutInCell="1" allowOverlap="1" wp14:anchorId="3830857A" wp14:editId="72088B4A">
                  <wp:simplePos x="0" y="0"/>
                  <wp:positionH relativeFrom="column">
                    <wp:posOffset>3471545</wp:posOffset>
                  </wp:positionH>
                  <wp:positionV relativeFrom="paragraph">
                    <wp:posOffset>140970</wp:posOffset>
                  </wp:positionV>
                  <wp:extent cx="724001" cy="523948"/>
                  <wp:effectExtent l="0" t="0" r="0" b="9525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001" cy="523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61793C66" w14:textId="58A83543" w:rsidR="00772742" w:rsidRDefault="00772742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772742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2F5383A3" wp14:editId="084753DA">
                  <wp:extent cx="4200525" cy="3811887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3007" cy="38141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8609CB" w14:textId="72C28ED2" w:rsidR="00C7676A" w:rsidRPr="00C7676A" w:rsidRDefault="00C7676A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7FC00F4E" w14:textId="77777777" w:rsidTr="003D1027">
        <w:tc>
          <w:tcPr>
            <w:tcW w:w="1484" w:type="dxa"/>
          </w:tcPr>
          <w:p w14:paraId="51D463E9" w14:textId="35C217E9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>6. Mapping consistent with frequency</w:t>
            </w:r>
          </w:p>
        </w:tc>
        <w:tc>
          <w:tcPr>
            <w:tcW w:w="9046" w:type="dxa"/>
          </w:tcPr>
          <w:p w14:paraId="689F6C8E" w14:textId="2575DA39" w:rsidR="0072199E" w:rsidRPr="00C7676A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commentRangeStart w:id="1"/>
            <w:r w:rsidRPr="00C7676A">
              <w:rPr>
                <w:rFonts w:ascii="Arial" w:hAnsi="Arial" w:cs="Arial"/>
                <w:sz w:val="20"/>
              </w:rPr>
              <w:t>6.1</w:t>
            </w:r>
            <w:r w:rsidR="002C3C96" w:rsidRPr="00C7676A">
              <w:rPr>
                <w:rFonts w:ascii="Arial" w:hAnsi="Arial" w:cs="Arial"/>
                <w:sz w:val="20"/>
              </w:rPr>
              <w:t xml:space="preserve"> </w:t>
            </w:r>
            <w:r w:rsidR="00541181" w:rsidRPr="00C7676A">
              <w:rPr>
                <w:rFonts w:ascii="Arial" w:hAnsi="Arial" w:cs="Arial"/>
                <w:sz w:val="20"/>
              </w:rPr>
              <w:t xml:space="preserve">Mapping of the three flood hazards is </w:t>
            </w:r>
            <w:r w:rsidR="00BB7FB2" w:rsidRPr="00C7676A">
              <w:rPr>
                <w:rFonts w:ascii="Arial" w:hAnsi="Arial" w:cs="Arial"/>
                <w:sz w:val="20"/>
              </w:rPr>
              <w:t>in</w:t>
            </w:r>
            <w:r w:rsidR="00541181" w:rsidRPr="00C7676A">
              <w:rPr>
                <w:rFonts w:ascii="Arial" w:hAnsi="Arial" w:cs="Arial"/>
                <w:sz w:val="20"/>
              </w:rPr>
              <w:t>consistent with their frequency</w:t>
            </w:r>
            <w:r w:rsidR="00BB7FB2" w:rsidRPr="00C7676A">
              <w:rPr>
                <w:rFonts w:ascii="Arial" w:hAnsi="Arial" w:cs="Arial"/>
                <w:sz w:val="20"/>
              </w:rPr>
              <w:t xml:space="preserve"> (</w:t>
            </w:r>
            <w:r w:rsidR="00541181" w:rsidRPr="00C7676A">
              <w:rPr>
                <w:rFonts w:ascii="Arial" w:hAnsi="Arial" w:cs="Arial"/>
                <w:sz w:val="20"/>
              </w:rPr>
              <w:t>i.e., 0.2% &gt; 1% &gt; 10%</w:t>
            </w:r>
            <w:r w:rsidR="00BB7FB2" w:rsidRPr="00C7676A">
              <w:rPr>
                <w:rFonts w:ascii="Arial" w:hAnsi="Arial" w:cs="Arial"/>
                <w:sz w:val="20"/>
              </w:rPr>
              <w:t xml:space="preserve">) in </w:t>
            </w:r>
            <w:r w:rsidR="0025313E" w:rsidRPr="00C7676A">
              <w:rPr>
                <w:rFonts w:ascii="Arial" w:hAnsi="Arial" w:cs="Arial"/>
                <w:sz w:val="20"/>
              </w:rPr>
              <w:t>many</w:t>
            </w:r>
            <w:r w:rsidR="00BB7FB2" w:rsidRPr="00C7676A">
              <w:rPr>
                <w:rFonts w:ascii="Arial" w:hAnsi="Arial" w:cs="Arial"/>
                <w:sz w:val="20"/>
              </w:rPr>
              <w:t xml:space="preserve"> areas</w:t>
            </w:r>
            <w:r w:rsidR="0025313E" w:rsidRPr="00C7676A">
              <w:rPr>
                <w:rFonts w:ascii="Arial" w:hAnsi="Arial" w:cs="Arial"/>
                <w:sz w:val="20"/>
              </w:rPr>
              <w:t xml:space="preserve"> (see figures below). In most </w:t>
            </w:r>
            <w:r w:rsidR="00147EAF" w:rsidRPr="00C7676A">
              <w:rPr>
                <w:rFonts w:ascii="Arial" w:hAnsi="Arial" w:cs="Arial"/>
                <w:sz w:val="20"/>
              </w:rPr>
              <w:t>of the marked-up areas</w:t>
            </w:r>
            <w:r w:rsidR="0025313E" w:rsidRPr="00C7676A">
              <w:rPr>
                <w:rFonts w:ascii="Arial" w:hAnsi="Arial" w:cs="Arial"/>
                <w:sz w:val="20"/>
              </w:rPr>
              <w:t>, the 10% is the widest mapped flood. There are also some areas where the 1% is wider than the 0.2% (see coordinates in figure).</w:t>
            </w:r>
          </w:p>
          <w:p w14:paraId="1A51AD22" w14:textId="4E9C5532" w:rsidR="00BB7FB2" w:rsidRPr="00C7676A" w:rsidRDefault="00BB7FB2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20F50FCA" w14:textId="252EE78F" w:rsidR="00BB7FB2" w:rsidRPr="00C7676A" w:rsidRDefault="0025313E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C7676A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1376181E" wp14:editId="4EEA4AA5">
                  <wp:extent cx="4205711" cy="3323230"/>
                  <wp:effectExtent l="0" t="0" r="444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8912" cy="3349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467FB3" w14:textId="1410F1B6" w:rsidR="00BB7FB2" w:rsidRPr="00C7676A" w:rsidRDefault="007B109E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C7676A">
              <w:rPr>
                <w:rFonts w:ascii="Arial" w:hAnsi="Arial" w:cs="Arial"/>
                <w:noProof/>
                <w:sz w:val="20"/>
              </w:rPr>
              <w:lastRenderedPageBreak/>
              <w:drawing>
                <wp:inline distT="0" distB="0" distL="0" distR="0" wp14:anchorId="69159EF1" wp14:editId="3DEFAF6E">
                  <wp:extent cx="4203511" cy="4012646"/>
                  <wp:effectExtent l="0" t="0" r="6985" b="698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3352" cy="402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7652D5" w14:textId="77777777" w:rsidR="007B109E" w:rsidRPr="00C7676A" w:rsidRDefault="007B109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6407F696" w14:textId="6CE543F6" w:rsidR="007B109E" w:rsidRPr="00C7676A" w:rsidRDefault="007B109E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C7676A">
              <w:rPr>
                <w:rFonts w:ascii="Arial" w:hAnsi="Arial" w:cs="Arial"/>
                <w:sz w:val="20"/>
              </w:rPr>
              <w:t>The area below was already noted.</w:t>
            </w:r>
          </w:p>
          <w:p w14:paraId="1E5946E6" w14:textId="62019E0D" w:rsidR="007B109E" w:rsidRPr="00C7676A" w:rsidRDefault="007B109E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C7676A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5730A260" wp14:editId="68BB0922">
                  <wp:extent cx="3729724" cy="3384645"/>
                  <wp:effectExtent l="0" t="0" r="4445" b="635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6741" cy="3418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commentRangeEnd w:id="1"/>
            <w:r w:rsidR="00777EB3">
              <w:rPr>
                <w:rStyle w:val="CommentReference"/>
              </w:rPr>
              <w:commentReference w:id="1"/>
            </w:r>
          </w:p>
          <w:p w14:paraId="5C09D1BC" w14:textId="700771A3" w:rsidR="00541181" w:rsidRPr="00C7676A" w:rsidRDefault="00541181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33EB102F" w14:textId="77777777" w:rsidTr="003D1027">
        <w:tc>
          <w:tcPr>
            <w:tcW w:w="1484" w:type="dxa"/>
          </w:tcPr>
          <w:p w14:paraId="678BCE76" w14:textId="0D4A8210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>7. Miscellaneous</w:t>
            </w:r>
          </w:p>
        </w:tc>
        <w:tc>
          <w:tcPr>
            <w:tcW w:w="9046" w:type="dxa"/>
          </w:tcPr>
          <w:p w14:paraId="797C62E6" w14:textId="7C054A44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7.1</w:t>
            </w:r>
            <w:r w:rsidR="00541181">
              <w:rPr>
                <w:rFonts w:ascii="Arial" w:hAnsi="Arial" w:cs="Arial"/>
                <w:sz w:val="20"/>
              </w:rPr>
              <w:t xml:space="preserve"> N/A</w:t>
            </w:r>
          </w:p>
        </w:tc>
      </w:tr>
    </w:tbl>
    <w:p w14:paraId="4EFAA5AB" w14:textId="17FC7F53" w:rsidR="00E50997" w:rsidRPr="0072199E" w:rsidRDefault="00E50997">
      <w:pPr>
        <w:rPr>
          <w:rFonts w:ascii="Arial" w:hAnsi="Arial" w:cs="Arial"/>
          <w:sz w:val="22"/>
          <w:szCs w:val="22"/>
        </w:rPr>
      </w:pPr>
    </w:p>
    <w:p w14:paraId="4CAD4714" w14:textId="625DA8CF" w:rsidR="000B6E34" w:rsidRDefault="000B6E34">
      <w:pPr>
        <w:rPr>
          <w:rFonts w:ascii="Arial" w:hAnsi="Arial" w:cs="Arial"/>
          <w:sz w:val="22"/>
          <w:szCs w:val="22"/>
        </w:rPr>
      </w:pPr>
    </w:p>
    <w:p w14:paraId="58082857" w14:textId="79069A5F" w:rsidR="0025313E" w:rsidRPr="0072199E" w:rsidRDefault="0025313E">
      <w:pPr>
        <w:rPr>
          <w:rFonts w:ascii="Arial" w:hAnsi="Arial" w:cs="Arial"/>
          <w:sz w:val="22"/>
          <w:szCs w:val="22"/>
        </w:rPr>
      </w:pPr>
    </w:p>
    <w:p w14:paraId="3C629A97" w14:textId="2DD15E29" w:rsidR="00E50997" w:rsidRPr="0072199E" w:rsidRDefault="00E50997">
      <w:pPr>
        <w:rPr>
          <w:rFonts w:ascii="Arial" w:hAnsi="Arial" w:cs="Arial"/>
          <w:sz w:val="22"/>
          <w:szCs w:val="22"/>
        </w:rPr>
      </w:pPr>
    </w:p>
    <w:p w14:paraId="5416136D" w14:textId="77777777" w:rsidR="00E50997" w:rsidRPr="0072199E" w:rsidRDefault="00E50997">
      <w:pPr>
        <w:rPr>
          <w:rFonts w:ascii="Arial" w:hAnsi="Arial" w:cs="Arial"/>
          <w:sz w:val="22"/>
          <w:szCs w:val="22"/>
        </w:rPr>
      </w:pPr>
    </w:p>
    <w:sectPr w:rsidR="00E50997" w:rsidRPr="0072199E" w:rsidSect="008F06AE">
      <w:headerReference w:type="default" r:id="rId25"/>
      <w:headerReference w:type="first" r:id="rId26"/>
      <w:footerReference w:type="first" r:id="rId27"/>
      <w:type w:val="continuous"/>
      <w:pgSz w:w="12240" w:h="15840" w:code="1"/>
      <w:pgMar w:top="2160" w:right="1440" w:bottom="1440" w:left="1440" w:header="990" w:footer="471" w:gutter="0"/>
      <w:cols w:space="720"/>
      <w:noEndnote/>
      <w:titlePg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comment w:id="0" w:author="Prykhodko, Gennadii" w:date="2021-09-10T08:56:00Z" w:initials="PG">
    <w:p w14:paraId="34CA9EB0" w14:textId="36098781" w:rsidR="00E71B94" w:rsidRDefault="00E71B94">
      <w:pPr>
        <w:pStyle w:val="CommentText"/>
      </w:pPr>
      <w:r>
        <w:rPr>
          <w:rStyle w:val="CommentReference"/>
        </w:rPr>
        <w:annotationRef/>
      </w:r>
      <w:r>
        <w:t>I am not sure how this can be addressed on the mapping side. Seems like it would be something we need to discus with modeling team.</w:t>
      </w:r>
    </w:p>
  </w:comment>
  <w:comment w:id="1" w:author="Prykhodko, Gennadii" w:date="2021-09-10T08:55:00Z" w:initials="PG">
    <w:p w14:paraId="07E34303" w14:textId="5CBBE0B5" w:rsidR="00777EB3" w:rsidRDefault="00777EB3">
      <w:pPr>
        <w:pStyle w:val="CommentText"/>
      </w:pPr>
      <w:r>
        <w:rPr>
          <w:rStyle w:val="CommentReference"/>
        </w:rPr>
        <w:annotationRef/>
      </w:r>
      <w:r>
        <w:t>This has been fixed.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commentEx w15:paraId="34CA9EB0" w15:done="0"/>
  <w15:commentEx w15:paraId="07E34303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4E59C3D" w16cex:dateUtc="2021-09-10T13:56:00Z"/>
  <w16cex:commentExtensible w16cex:durableId="24E59BF2" w16cex:dateUtc="2021-09-10T13:55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34CA9EB0" w16cid:durableId="24E59C3D"/>
  <w16cid:commentId w16cid:paraId="07E34303" w16cid:durableId="24E59BF2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9135A71" w14:textId="77777777" w:rsidR="005B7E30" w:rsidRDefault="005B7E30">
      <w:r>
        <w:separator/>
      </w:r>
    </w:p>
  </w:endnote>
  <w:endnote w:type="continuationSeparator" w:id="0">
    <w:p w14:paraId="20572E5F" w14:textId="77777777" w:rsidR="005B7E30" w:rsidRDefault="005B7E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Gotham-Book">
    <w:altName w:val="Calibri"/>
    <w:charset w:val="00"/>
    <w:family w:val="auto"/>
    <w:pitch w:val="variable"/>
    <w:sig w:usb0="8000002F" w:usb1="00000048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ED650F" w14:textId="77777777" w:rsidR="008F06AE" w:rsidRPr="00FD52CB" w:rsidRDefault="0069630A" w:rsidP="008F06AE">
    <w:pPr>
      <w:pStyle w:val="Footer"/>
      <w:ind w:hanging="360"/>
      <w:rPr>
        <w:szCs w:val="14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251659776" behindDoc="0" locked="0" layoutInCell="1" allowOverlap="1" wp14:anchorId="54D791CB" wp14:editId="6D00E9E4">
              <wp:simplePos x="0" y="0"/>
              <wp:positionH relativeFrom="column">
                <wp:posOffset>-342900</wp:posOffset>
              </wp:positionH>
              <wp:positionV relativeFrom="paragraph">
                <wp:posOffset>-287655</wp:posOffset>
              </wp:positionV>
              <wp:extent cx="5149850" cy="540385"/>
              <wp:effectExtent l="0" t="0" r="0" b="0"/>
              <wp:wrapSquare wrapText="bothSides"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49850" cy="5403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F26F79" w14:textId="77777777" w:rsidR="0069630A" w:rsidRPr="002C55A5" w:rsidRDefault="0069630A" w:rsidP="0069630A">
                          <w:pPr>
                            <w:rPr>
                              <w:sz w:val="11"/>
                              <w:szCs w:val="11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4D791CB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-27pt;margin-top:-22.65pt;width:405.5pt;height:42.55pt;z-index:2516597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8p7BgIAAPYDAAAOAAAAZHJzL2Uyb0RvYy54bWysU8GO0zAQvSPxD5bvNG1poRs1XS1dFSEt&#10;C9IuH+A4TmLheMzYbbJ8PWMnLRXcEDlYGc/4+b034+3t0Bl2Uug12IIvZnPOlJVQadsU/Nvz4c2G&#10;Mx+ErYQBqwr+ojy/3b1+te1drpbQgqkUMgKxPu9dwdsQXJ5lXraqE34GTllK1oCdCBRik1UoekLv&#10;TLacz99lPWDlEKTynnbvxyTfJfy6VjJ8qWuvAjMFJ24hrZjWMq7ZbivyBoVrtZxoiH9g0Qlt6dIL&#10;1L0Igh1R/wXVaYngoQ4zCV0Gda2lShpIzWL+h5qnVjiVtJA53l1s8v8PVj6eviLTFfWOMys6atGz&#10;GgL7AANbRnd653MqenJUFgbajpVRqXcPIL97ZmHfCtuoO0ToWyUqYreIJ7OroyOOjyBl/xkqukYc&#10;AySgocYuApIZjNCpSy+XzkQqkjbXi9XNZk0pSbn1av52s05XiPx82qEPHxV0LP4UHKnzCV2cHnyI&#10;bER+LknswejqoI1JATbl3iA7CZqSQ/omdH9dZmwsthCPjYhxJ8mMykaNYSiHyc/JvRKqF9KNMA4f&#10;PRb6aQF/ctbT4BXc/zgKVJyZT5a8u1msVnFSU7Bav19SgNeZ8jojrCSoggfOxt99GKf76FA3Ld10&#10;7tYd+X3QyYrYmJHVRJ+GKzk0PYQ4vddxqvr9XHe/AAAA//8DAFBLAwQUAAYACAAAACEAX8/6+N8A&#10;AAAKAQAADwAAAGRycy9kb3ducmV2LnhtbEyPzU7DMBCE70i8g7VI3FoH2tAS4lQVFRcOSBSk9ujG&#10;mzjCf7LdNLw9ywluuzuj2W/qzWQNGzGmwTsBd/MCGLrWq8H1Aj4/XmZrYClLp6TxDgV8Y4JNc31V&#10;y0r5i3vHcZ97RiEuVVKAzjlUnKdWo5Vp7gM60jofrcy0xp6rKC8Ubg2/L4oHbuXg6IOWAZ81tl/7&#10;sxVwsHpQu/h27JQZd6/dtgxTDELc3kzbJ2AZp/xnhl98QoeGmE7+7FRiRsCsXFKXTMOyXAAjx6pc&#10;0eUkYPG4Bt7U/H+F5gcAAP//AwBQSwECLQAUAAYACAAAACEAtoM4kv4AAADhAQAAEwAAAAAAAAAA&#10;AAAAAAAAAAAAW0NvbnRlbnRfVHlwZXNdLnhtbFBLAQItABQABgAIAAAAIQA4/SH/1gAAAJQBAAAL&#10;AAAAAAAAAAAAAAAAAC8BAABfcmVscy8ucmVsc1BLAQItABQABgAIAAAAIQDCa8p7BgIAAPYDAAAO&#10;AAAAAAAAAAAAAAAAAC4CAABkcnMvZTJvRG9jLnhtbFBLAQItABQABgAIAAAAIQBfz/r43wAAAAoB&#10;AAAPAAAAAAAAAAAAAAAAAGAEAABkcnMvZG93bnJldi54bWxQSwUGAAAAAAQABADzAAAAbAUAAAAA&#10;" stroked="f">
              <v:textbox style="mso-fit-shape-to-text:t">
                <w:txbxContent>
                  <w:p w14:paraId="5BF26F79" w14:textId="77777777" w:rsidR="0069630A" w:rsidRPr="002C55A5" w:rsidRDefault="0069630A" w:rsidP="0069630A">
                    <w:pPr>
                      <w:rPr>
                        <w:sz w:val="11"/>
                        <w:szCs w:val="11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7C514AE" w14:textId="77777777" w:rsidR="005B7E30" w:rsidRDefault="005B7E30">
      <w:r>
        <w:separator/>
      </w:r>
    </w:p>
  </w:footnote>
  <w:footnote w:type="continuationSeparator" w:id="0">
    <w:p w14:paraId="033264CC" w14:textId="77777777" w:rsidR="005B7E30" w:rsidRDefault="005B7E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2AE7D1" w14:textId="4C727592" w:rsidR="008F06AE" w:rsidRDefault="00E563B1" w:rsidP="008F06AE">
    <w:pPr>
      <w:pStyle w:val="Header"/>
      <w:ind w:hanging="360"/>
      <w:rPr>
        <w:szCs w:val="14"/>
      </w:rPr>
    </w:pPr>
    <w:r>
      <w:rPr>
        <w:noProof/>
        <w:szCs w:val="14"/>
      </w:rPr>
      <w:drawing>
        <wp:inline distT="0" distB="0" distL="0" distR="0" wp14:anchorId="5E153309" wp14:editId="6E53C7AB">
          <wp:extent cx="1783496" cy="416530"/>
          <wp:effectExtent l="0" t="0" r="0" b="3175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Halff-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23140" cy="449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D60FFB">
      <w:rPr>
        <w:noProof/>
        <w:sz w:val="14"/>
        <w:szCs w:val="14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4AD6BF7E" wp14:editId="4909A400">
              <wp:simplePos x="0" y="0"/>
              <wp:positionH relativeFrom="column">
                <wp:posOffset>4074160</wp:posOffset>
              </wp:positionH>
              <wp:positionV relativeFrom="paragraph">
                <wp:posOffset>-8890</wp:posOffset>
              </wp:positionV>
              <wp:extent cx="2187575" cy="490220"/>
              <wp:effectExtent l="0" t="0" r="0" b="0"/>
              <wp:wrapNone/>
              <wp:docPr id="4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7575" cy="4902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719C52A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Fonts w:ascii="Arial" w:hAnsi="Arial" w:cs="Arial"/>
                              <w:sz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</w:rPr>
                            <w:t>Replace this with recipient's name</w:t>
                          </w:r>
                        </w:p>
                        <w:p w14:paraId="12ADC77C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Replace this with recipient's company name</w:t>
                          </w:r>
                        </w:p>
                        <w:p w14:paraId="2FCA90C0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Replace with today’s date</w:t>
                          </w:r>
                        </w:p>
                        <w:p w14:paraId="091FF224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 xml:space="preserve">Page </w:t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fldChar w:fldCharType="begin"/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instrText xml:space="preserve"> PAGE </w:instrText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fldChar w:fldCharType="separate"/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noProof/>
                              <w:sz w:val="14"/>
                              <w:szCs w:val="14"/>
                            </w:rPr>
                            <w:t>2</w:t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fldChar w:fldCharType="end"/>
                          </w:r>
                        </w:p>
                        <w:p w14:paraId="29990122" w14:textId="77777777" w:rsidR="008F06AE" w:rsidRDefault="00E71B94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D6BF7E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26" type="#_x0000_t202" style="position:absolute;left:0;text-align:left;margin-left:320.8pt;margin-top:-.7pt;width:172.25pt;height:38.6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zRVBwIAAPADAAAOAAAAZHJzL2Uyb0RvYy54bWysU9uO2yAQfa/Uf0C8N44tp9m14qy2WaWq&#10;tL1Iu/0AjLGNajN0ILHTr++As2m0favKA4K5HOacGTZ309Czo0KnwZQ8XSw5U0ZCrU1b8u/P+3c3&#10;nDkvTC16MKrkJ+X43fbtm81oC5VBB32tkBGIccVoS955b4skcbJTg3ALsMqQswEchKcrtkmNYiT0&#10;oU+y5fJ9MgLWFkEq58j6MDv5NuI3jZL+a9M45VlfcqrNxx3jXoU92W5E0aKwnZbnMsQ/VDEIbejR&#10;C9SD8IIdUP8FNWiJ4KDxCwlDAk2jpYociE26fMXmqRNWRS4kjrMXmdz/g5Vfjt+Q6brkOWdGDNSi&#10;ZzV59gEmluZBntG6gqKeLMX5iezU5kjV2UeQPxwzsOuEadU9IoydEjWVl4bM5Cp1xnEBpBo/Q03v&#10;iIOHCDQ1OATtSA1G6NSm06U1oRZJxiy9Wa/WK84k+fLbZZbF3iWieMm26PxHBQMLh5IjtT6ii+Oj&#10;86EaUbyEhMcc9Lre676PF2yrXY/sKGhM9nFFAq/CehOCDYS0GTFYIs3AbObop2o6y1ZBfSLCCPPY&#10;0TehQwf4i7ORRq7k7udBoOKs/2RItNs0z8OMxku+WhNFhtee6tojjCSoknvO5uPOz3N9sKjbjl6a&#10;22TgnoRudNQgdGSu6lw3jVWU5vwFwtxe32PUn4+6/Q0AAP//AwBQSwMEFAAGAAgAAAAhAPzwO+je&#10;AAAACQEAAA8AAABkcnMvZG93bnJldi54bWxMj91Og0AQhe9NfIfNmHhj2gVDF4oMjZpovO3PAwww&#10;BSK7S9htoW/veqWXk/PlnG+K3aIHceXJ9dYgxOsIBJvaNr1pEU7Hj1UGwnkyDQ3WMMKNHezK+7uC&#10;8sbOZs/Xg29FKDEuJ4TO+zGX0tUda3JrO7IJ2dlOmnw4p1Y2E82hXA/yOYqU1NSbsNDRyO8d19+H&#10;i0Y4f81Pm+1cffpTuk/UG/VpZW+Ijw/L6wsIz4v/g+FXP6hDGZwqezGNEwOCSmIVUIRVnIAIwDZT&#10;MYgKId1kIMtC/v+g/AEAAP//AwBQSwECLQAUAAYACAAAACEAtoM4kv4AAADhAQAAEwAAAAAAAAAA&#10;AAAAAAAAAAAAW0NvbnRlbnRfVHlwZXNdLnhtbFBLAQItABQABgAIAAAAIQA4/SH/1gAAAJQBAAAL&#10;AAAAAAAAAAAAAAAAAC8BAABfcmVscy8ucmVsc1BLAQItABQABgAIAAAAIQCk3zRVBwIAAPADAAAO&#10;AAAAAAAAAAAAAAAAAC4CAABkcnMvZTJvRG9jLnhtbFBLAQItABQABgAIAAAAIQD88Dvo3gAAAAkB&#10;AAAPAAAAAAAAAAAAAAAAAGEEAABkcnMvZG93bnJldi54bWxQSwUGAAAAAAQABADzAAAAbAUAAAAA&#10;" stroked="f">
              <v:textbox>
                <w:txbxContent>
                  <w:p w14:paraId="5719C52A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Fonts w:ascii="Arial" w:hAnsi="Arial" w:cs="Arial"/>
                        <w:sz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</w:rPr>
                      <w:t>Replace this with recipient's name</w:t>
                    </w:r>
                  </w:p>
                  <w:p w14:paraId="12ADC77C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  <w:szCs w:val="14"/>
                      </w:rPr>
                      <w:t>Replace this with recipient's company name</w:t>
                    </w:r>
                  </w:p>
                  <w:p w14:paraId="2FCA90C0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  <w:szCs w:val="14"/>
                      </w:rPr>
                      <w:t>Replace with today’s date</w:t>
                    </w:r>
                  </w:p>
                  <w:p w14:paraId="091FF224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  <w:szCs w:val="14"/>
                      </w:rPr>
                      <w:t xml:space="preserve">Page </w:t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fldChar w:fldCharType="begin"/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instrText xml:space="preserve"> PAGE </w:instrText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fldChar w:fldCharType="separate"/>
                    </w:r>
                    <w:r w:rsidRPr="00987AC5">
                      <w:rPr>
                        <w:rStyle w:val="PageNumber"/>
                        <w:rFonts w:ascii="Arial" w:hAnsi="Arial" w:cs="Arial"/>
                        <w:noProof/>
                        <w:sz w:val="14"/>
                        <w:szCs w:val="14"/>
                      </w:rPr>
                      <w:t>2</w:t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fldChar w:fldCharType="end"/>
                    </w:r>
                  </w:p>
                  <w:p w14:paraId="29990122" w14:textId="77777777" w:rsidR="008F06AE" w:rsidRDefault="00E71B94"/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C22082" w14:textId="1A1BCEA0" w:rsidR="008F06AE" w:rsidRPr="00FD52CB" w:rsidRDefault="00E563B1" w:rsidP="008F06AE">
    <w:pPr>
      <w:pStyle w:val="Header"/>
      <w:ind w:hanging="360"/>
      <w:rPr>
        <w:szCs w:val="14"/>
      </w:rPr>
    </w:pPr>
    <w:r>
      <w:rPr>
        <w:noProof/>
        <w:szCs w:val="14"/>
      </w:rPr>
      <w:drawing>
        <wp:inline distT="0" distB="0" distL="0" distR="0" wp14:anchorId="37D28A92" wp14:editId="5B0D3255">
          <wp:extent cx="1783496" cy="416530"/>
          <wp:effectExtent l="0" t="0" r="0" b="3175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Halff-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23140" cy="449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CEE7ED2"/>
    <w:multiLevelType w:val="hybridMultilevel"/>
    <w:tmpl w:val="3CD050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Prykhodko, Gennadii">
    <w15:presenceInfo w15:providerId="AD" w15:userId="S::ah4129@halff.com::1d9ca07f-235d-44de-a532-443efc43bd1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81">
      <o:colormru v:ext="edit" colors="#3a569b,#10147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0FFB"/>
    <w:rsid w:val="000A510E"/>
    <w:rsid w:val="000B6E34"/>
    <w:rsid w:val="00147EAF"/>
    <w:rsid w:val="00151847"/>
    <w:rsid w:val="001B4EF9"/>
    <w:rsid w:val="001C0190"/>
    <w:rsid w:val="0025313E"/>
    <w:rsid w:val="00277916"/>
    <w:rsid w:val="002C3C96"/>
    <w:rsid w:val="003C5C1D"/>
    <w:rsid w:val="003D1027"/>
    <w:rsid w:val="004525EE"/>
    <w:rsid w:val="00486827"/>
    <w:rsid w:val="004A3820"/>
    <w:rsid w:val="004B449D"/>
    <w:rsid w:val="004D6D4E"/>
    <w:rsid w:val="004F360A"/>
    <w:rsid w:val="00526223"/>
    <w:rsid w:val="00541181"/>
    <w:rsid w:val="005B7E30"/>
    <w:rsid w:val="005D3859"/>
    <w:rsid w:val="0062272D"/>
    <w:rsid w:val="00646E55"/>
    <w:rsid w:val="0069630A"/>
    <w:rsid w:val="0072199E"/>
    <w:rsid w:val="0073470E"/>
    <w:rsid w:val="00772742"/>
    <w:rsid w:val="00777EB3"/>
    <w:rsid w:val="007B109E"/>
    <w:rsid w:val="00802E27"/>
    <w:rsid w:val="008371FE"/>
    <w:rsid w:val="0096473A"/>
    <w:rsid w:val="00984250"/>
    <w:rsid w:val="00987AC5"/>
    <w:rsid w:val="009B266F"/>
    <w:rsid w:val="00AB36AE"/>
    <w:rsid w:val="00AC2967"/>
    <w:rsid w:val="00B10287"/>
    <w:rsid w:val="00BB7FB2"/>
    <w:rsid w:val="00BF4C08"/>
    <w:rsid w:val="00C44252"/>
    <w:rsid w:val="00C7113E"/>
    <w:rsid w:val="00C7676A"/>
    <w:rsid w:val="00C93161"/>
    <w:rsid w:val="00D60FFB"/>
    <w:rsid w:val="00DA15C0"/>
    <w:rsid w:val="00DD4FAE"/>
    <w:rsid w:val="00DE702E"/>
    <w:rsid w:val="00E40DCB"/>
    <w:rsid w:val="00E50997"/>
    <w:rsid w:val="00E563B1"/>
    <w:rsid w:val="00E71B94"/>
    <w:rsid w:val="00EE5E3A"/>
    <w:rsid w:val="00F11486"/>
    <w:rsid w:val="00FB341C"/>
    <w:rsid w:val="00FB60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1">
      <o:colormru v:ext="edit" colors="#3a569b,#10147e"/>
    </o:shapedefaults>
    <o:shapelayout v:ext="edit">
      <o:idmap v:ext="edit" data="1"/>
    </o:shapelayout>
  </w:shapeDefaults>
  <w:decimalSymbol w:val="."/>
  <w:listSeparator w:val=","/>
  <w14:docId w14:val="58897FD5"/>
  <w15:chartTrackingRefBased/>
  <w15:docId w15:val="{96D9783E-E104-4AD5-8D0C-C4A47C2B20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">
    <w:name w:val="List"/>
    <w:basedOn w:val="Normal"/>
    <w:pPr>
      <w:widowControl w:val="0"/>
      <w:spacing w:after="240"/>
      <w:ind w:left="720" w:hanging="720"/>
    </w:pPr>
    <w:rPr>
      <w:rFonts w:ascii="Times Roman" w:hAnsi="Times Roman"/>
    </w:rPr>
  </w:style>
  <w:style w:type="paragraph" w:styleId="Footer">
    <w:name w:val="footer"/>
    <w:basedOn w:val="Normal"/>
    <w:pPr>
      <w:widowControl w:val="0"/>
      <w:tabs>
        <w:tab w:val="center" w:pos="4320"/>
        <w:tab w:val="right" w:pos="9360"/>
      </w:tabs>
    </w:pPr>
    <w:rPr>
      <w:rFonts w:ascii="Times Roman" w:hAnsi="Times Roman"/>
    </w:rPr>
  </w:style>
  <w:style w:type="paragraph" w:styleId="EnvelopeAddress">
    <w:name w:val="envelope address"/>
    <w:basedOn w:val="EnvelopeReturn"/>
    <w:pPr>
      <w:keepLines/>
      <w:framePr w:w="7920" w:h="1980" w:hRule="exact" w:hSpace="180" w:wrap="auto" w:hAnchor="page" w:xAlign="center" w:yAlign="bottom"/>
      <w:ind w:left="6480"/>
      <w:jc w:val="left"/>
    </w:pPr>
    <w:rPr>
      <w:rFonts w:ascii="Arial Rounded MT Bold" w:hAnsi="Arial Rounded MT Bold"/>
      <w:b/>
      <w:sz w:val="28"/>
    </w:rPr>
  </w:style>
  <w:style w:type="paragraph" w:styleId="EnvelopeReturn">
    <w:name w:val="envelope return"/>
    <w:basedOn w:val="Normal"/>
    <w:rPr>
      <w:sz w:val="20"/>
    </w:rPr>
  </w:style>
  <w:style w:type="paragraph" w:customStyle="1" w:styleId="JITEM3">
    <w:name w:val="JITEM3"/>
    <w:basedOn w:val="JITEM2"/>
    <w:pPr>
      <w:tabs>
        <w:tab w:val="left" w:pos="2160"/>
      </w:tabs>
    </w:pPr>
  </w:style>
  <w:style w:type="paragraph" w:customStyle="1" w:styleId="JITEM2">
    <w:name w:val="JITEM2"/>
    <w:basedOn w:val="Normal"/>
    <w:pPr>
      <w:tabs>
        <w:tab w:val="left" w:pos="-720"/>
        <w:tab w:val="left" w:pos="0"/>
        <w:tab w:val="left" w:pos="720"/>
        <w:tab w:val="left" w:pos="1440"/>
      </w:tabs>
      <w:suppressAutoHyphens/>
      <w:spacing w:after="120"/>
      <w:ind w:left="2880" w:hanging="720"/>
    </w:pPr>
    <w:rPr>
      <w:rFonts w:ascii="Century Schoolbook" w:hAnsi="Century Schoolbook"/>
      <w:spacing w:val="-2"/>
      <w:sz w:val="20"/>
    </w:rPr>
  </w:style>
  <w:style w:type="paragraph" w:customStyle="1" w:styleId="JHEAD1">
    <w:name w:val="JHEAD1"/>
    <w:basedOn w:val="Normal"/>
    <w:pPr>
      <w:spacing w:after="120"/>
      <w:ind w:left="720" w:hanging="720"/>
    </w:pPr>
    <w:rPr>
      <w:rFonts w:ascii="Century Schoolbook" w:hAnsi="Century Schoolbook"/>
      <w:b/>
      <w:sz w:val="20"/>
      <w:u w:val="single"/>
    </w:rPr>
  </w:style>
  <w:style w:type="paragraph" w:customStyle="1" w:styleId="JHEAD2">
    <w:name w:val="JHEAD2"/>
    <w:basedOn w:val="Normal"/>
    <w:pPr>
      <w:spacing w:after="240"/>
      <w:ind w:left="1440" w:hanging="720"/>
    </w:pPr>
    <w:rPr>
      <w:rFonts w:ascii="Century Schoolbook" w:hAnsi="Century Schoolbook"/>
      <w:sz w:val="20"/>
    </w:rPr>
  </w:style>
  <w:style w:type="paragraph" w:styleId="ListBullet">
    <w:name w:val="List Bullet"/>
    <w:basedOn w:val="Normal"/>
    <w:pPr>
      <w:ind w:left="720" w:hanging="720"/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styleId="BodyText">
    <w:name w:val="Body Text"/>
    <w:basedOn w:val="Normal"/>
    <w:link w:val="BodyTextChar"/>
    <w:uiPriority w:val="1"/>
    <w:qFormat/>
    <w:rsid w:val="00C44252"/>
    <w:pPr>
      <w:widowControl w:val="0"/>
      <w:overflowPunct/>
      <w:autoSpaceDE/>
      <w:autoSpaceDN/>
      <w:adjustRightInd/>
      <w:ind w:left="119"/>
      <w:jc w:val="left"/>
      <w:textAlignment w:val="auto"/>
    </w:pPr>
    <w:rPr>
      <w:rFonts w:ascii="Gotham-Book" w:eastAsia="Gotham-Book" w:hAnsi="Gotham-Book" w:cstheme="minorBidi"/>
      <w:sz w:val="11"/>
      <w:szCs w:val="11"/>
    </w:rPr>
  </w:style>
  <w:style w:type="character" w:customStyle="1" w:styleId="BodyTextChar">
    <w:name w:val="Body Text Char"/>
    <w:basedOn w:val="DefaultParagraphFont"/>
    <w:link w:val="BodyText"/>
    <w:uiPriority w:val="1"/>
    <w:rsid w:val="00C44252"/>
    <w:rPr>
      <w:rFonts w:ascii="Gotham-Book" w:eastAsia="Gotham-Book" w:hAnsi="Gotham-Book" w:cstheme="minorBidi"/>
      <w:sz w:val="11"/>
      <w:szCs w:val="11"/>
    </w:rPr>
  </w:style>
  <w:style w:type="character" w:styleId="Hyperlink">
    <w:name w:val="Hyperlink"/>
    <w:basedOn w:val="DefaultParagraphFont"/>
    <w:uiPriority w:val="99"/>
    <w:unhideWhenUsed/>
    <w:rsid w:val="0069630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9630A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563B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63B1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526223"/>
    <w:pPr>
      <w:ind w:left="720"/>
      <w:contextualSpacing/>
    </w:pPr>
  </w:style>
  <w:style w:type="table" w:styleId="TableGrid">
    <w:name w:val="Table Grid"/>
    <w:basedOn w:val="TableNormal"/>
    <w:uiPriority w:val="39"/>
    <w:rsid w:val="000B6E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77EB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77EB3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77EB3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77EB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77EB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16/09/relationships/commentsIds" Target="commentsIds.xml"/><Relationship Id="rId18" Type="http://schemas.openxmlformats.org/officeDocument/2006/relationships/image" Target="media/image7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microsoft.com/office/2011/relationships/commentsExtended" Target="commentsExtended.xml"/><Relationship Id="rId17" Type="http://schemas.openxmlformats.org/officeDocument/2006/relationships/image" Target="media/image6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omments" Target="comments.xml"/><Relationship Id="rId24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18/08/relationships/commentsExtensible" Target="commentsExtensible.xml"/><Relationship Id="rId22" Type="http://schemas.openxmlformats.org/officeDocument/2006/relationships/image" Target="media/image11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CE2DEA-9CB5-42ED-8A9E-F8D419AF0A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5147</TotalTime>
  <Pages>8</Pages>
  <Words>529</Words>
  <Characters>2916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June 21, 1996</vt:lpstr>
    </vt:vector>
  </TitlesOfParts>
  <Company>HALFF ASSOCIATES, INC.</Company>
  <LinksUpToDate>false</LinksUpToDate>
  <CharactersWithSpaces>3439</CharactersWithSpaces>
  <SharedDoc>false</SharedDoc>
  <HLinks>
    <vt:vector size="18" baseType="variant">
      <vt:variant>
        <vt:i4>2031704</vt:i4>
      </vt:variant>
      <vt:variant>
        <vt:i4>1778</vt:i4>
      </vt:variant>
      <vt:variant>
        <vt:i4>1026</vt:i4>
      </vt:variant>
      <vt:variant>
        <vt:i4>1</vt:i4>
      </vt:variant>
      <vt:variant>
        <vt:lpwstr>Halff_color</vt:lpwstr>
      </vt:variant>
      <vt:variant>
        <vt:lpwstr/>
      </vt:variant>
      <vt:variant>
        <vt:i4>5636155</vt:i4>
      </vt:variant>
      <vt:variant>
        <vt:i4>1781</vt:i4>
      </vt:variant>
      <vt:variant>
        <vt:i4>1025</vt:i4>
      </vt:variant>
      <vt:variant>
        <vt:i4>1</vt:i4>
      </vt:variant>
      <vt:variant>
        <vt:lpwstr>Halff_4C</vt:lpwstr>
      </vt:variant>
      <vt:variant>
        <vt:lpwstr/>
      </vt:variant>
      <vt:variant>
        <vt:i4>6815755</vt:i4>
      </vt:variant>
      <vt:variant>
        <vt:i4>1784</vt:i4>
      </vt:variant>
      <vt:variant>
        <vt:i4>1028</vt:i4>
      </vt:variant>
      <vt:variant>
        <vt:i4>1</vt:i4>
      </vt:variant>
      <vt:variant>
        <vt:lpwstr>richardsonaddress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June 21, 1996</dc:title>
  <dc:subject/>
  <dc:creator>Hausenfluke, Jodi</dc:creator>
  <cp:keywords/>
  <dc:description/>
  <cp:lastModifiedBy>Prykhodko, Gennadii</cp:lastModifiedBy>
  <cp:revision>17</cp:revision>
  <cp:lastPrinted>2005-01-07T16:13:00Z</cp:lastPrinted>
  <dcterms:created xsi:type="dcterms:W3CDTF">2021-06-30T13:53:00Z</dcterms:created>
  <dcterms:modified xsi:type="dcterms:W3CDTF">2021-09-10T13:58:00Z</dcterms:modified>
</cp:coreProperties>
</file>